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214" w:rsidRPr="0017620E" w:rsidRDefault="00442214" w:rsidP="00DC478F">
      <w:pPr>
        <w:spacing w:after="120"/>
        <w:jc w:val="center"/>
        <w:rPr>
          <w:rFonts w:ascii="Times New Roman" w:hAnsi="Times New Roman" w:cs="Times New Roman"/>
          <w:b/>
          <w:sz w:val="24"/>
          <w:szCs w:val="24"/>
        </w:rPr>
      </w:pPr>
      <w:r w:rsidRPr="0017620E">
        <w:rPr>
          <w:rFonts w:ascii="Times New Roman" w:hAnsi="Times New Roman" w:cs="Times New Roman"/>
          <w:b/>
          <w:sz w:val="24"/>
          <w:szCs w:val="24"/>
        </w:rPr>
        <w:t xml:space="preserve">SINGAPORE MANAGEMENT UNIVERSITY </w:t>
      </w:r>
    </w:p>
    <w:p w:rsidR="00442214" w:rsidRPr="0017620E" w:rsidRDefault="00442214" w:rsidP="00DC478F">
      <w:pPr>
        <w:spacing w:after="120"/>
        <w:jc w:val="center"/>
        <w:rPr>
          <w:rFonts w:ascii="Times New Roman" w:hAnsi="Times New Roman" w:cs="Times New Roman"/>
          <w:b/>
          <w:sz w:val="24"/>
          <w:szCs w:val="24"/>
        </w:rPr>
      </w:pPr>
      <w:r w:rsidRPr="0017620E">
        <w:rPr>
          <w:rFonts w:ascii="Times New Roman" w:hAnsi="Times New Roman" w:cs="Times New Roman"/>
          <w:b/>
          <w:sz w:val="24"/>
          <w:szCs w:val="24"/>
        </w:rPr>
        <w:t xml:space="preserve">SCHOOL OF LAW </w:t>
      </w:r>
    </w:p>
    <w:p w:rsidR="00442214" w:rsidRPr="0017620E" w:rsidRDefault="00442214" w:rsidP="00DC478F">
      <w:pPr>
        <w:spacing w:after="120"/>
        <w:jc w:val="center"/>
        <w:rPr>
          <w:rFonts w:ascii="Times New Roman" w:hAnsi="Times New Roman" w:cs="Times New Roman"/>
          <w:b/>
          <w:sz w:val="24"/>
          <w:szCs w:val="24"/>
        </w:rPr>
      </w:pPr>
      <w:r w:rsidRPr="0017620E">
        <w:rPr>
          <w:rFonts w:ascii="Times New Roman" w:hAnsi="Times New Roman" w:cs="Times New Roman"/>
          <w:b/>
          <w:sz w:val="24"/>
          <w:szCs w:val="24"/>
        </w:rPr>
        <w:t xml:space="preserve">LAW 303 - LAW OF EQUITY &amp; TRUSTS </w:t>
      </w:r>
    </w:p>
    <w:p w:rsidR="00442214" w:rsidRPr="0017620E" w:rsidRDefault="00442214" w:rsidP="00DC478F">
      <w:pPr>
        <w:spacing w:after="120"/>
        <w:jc w:val="center"/>
        <w:rPr>
          <w:rFonts w:ascii="Times New Roman" w:hAnsi="Times New Roman" w:cs="Times New Roman"/>
          <w:b/>
          <w:sz w:val="24"/>
          <w:szCs w:val="24"/>
        </w:rPr>
      </w:pPr>
      <w:r w:rsidRPr="0017620E">
        <w:rPr>
          <w:rFonts w:ascii="Times New Roman" w:hAnsi="Times New Roman" w:cs="Times New Roman"/>
          <w:b/>
          <w:sz w:val="24"/>
          <w:szCs w:val="24"/>
        </w:rPr>
        <w:t xml:space="preserve">Week 1 - Seminar Questions </w:t>
      </w:r>
    </w:p>
    <w:p w:rsidR="003517E5" w:rsidRPr="0017620E" w:rsidRDefault="003517E5" w:rsidP="00002275">
      <w:pPr>
        <w:jc w:val="both"/>
        <w:rPr>
          <w:rFonts w:ascii="Times New Roman" w:hAnsi="Times New Roman" w:cs="Times New Roman"/>
          <w:sz w:val="24"/>
          <w:szCs w:val="24"/>
        </w:rPr>
      </w:pPr>
    </w:p>
    <w:p w:rsidR="00DE1BBE" w:rsidRDefault="00DE1BBE" w:rsidP="00EE5B48">
      <w:pPr>
        <w:pStyle w:val="ListParagraph"/>
        <w:numPr>
          <w:ilvl w:val="0"/>
          <w:numId w:val="2"/>
        </w:numPr>
        <w:ind w:left="720" w:hanging="720"/>
        <w:jc w:val="both"/>
        <w:rPr>
          <w:rFonts w:ascii="Times New Roman" w:hAnsi="Times New Roman" w:cs="Times New Roman"/>
          <w:sz w:val="24"/>
          <w:szCs w:val="24"/>
        </w:rPr>
      </w:pPr>
      <w:r w:rsidRPr="0017620E">
        <w:rPr>
          <w:rFonts w:ascii="Times New Roman" w:hAnsi="Times New Roman" w:cs="Times New Roman"/>
          <w:sz w:val="24"/>
          <w:szCs w:val="24"/>
        </w:rPr>
        <w:t xml:space="preserve">Define equity. </w:t>
      </w:r>
    </w:p>
    <w:p w:rsidR="002B2B30" w:rsidRPr="002B2B30" w:rsidRDefault="002B2B30" w:rsidP="002B2B30">
      <w:pPr>
        <w:pStyle w:val="ListParagraph"/>
        <w:jc w:val="both"/>
        <w:rPr>
          <w:rFonts w:ascii="Times New Roman" w:hAnsi="Times New Roman" w:cs="Times New Roman"/>
          <w:sz w:val="24"/>
          <w:szCs w:val="24"/>
        </w:rPr>
      </w:pPr>
    </w:p>
    <w:p w:rsidR="00541308" w:rsidRPr="0017620E" w:rsidRDefault="000263F5" w:rsidP="00EE5B48">
      <w:pPr>
        <w:pStyle w:val="ListParagraph"/>
        <w:numPr>
          <w:ilvl w:val="0"/>
          <w:numId w:val="2"/>
        </w:numPr>
        <w:ind w:left="720" w:hanging="720"/>
        <w:jc w:val="both"/>
        <w:rPr>
          <w:rFonts w:ascii="Times New Roman" w:hAnsi="Times New Roman" w:cs="Times New Roman"/>
          <w:sz w:val="24"/>
          <w:szCs w:val="24"/>
        </w:rPr>
      </w:pPr>
      <w:r w:rsidRPr="0017620E">
        <w:rPr>
          <w:rFonts w:ascii="Times New Roman" w:hAnsi="Times New Roman" w:cs="Times New Roman"/>
          <w:sz w:val="24"/>
          <w:szCs w:val="24"/>
        </w:rPr>
        <w:t>“Common law and equity are working in different ways towards the same ends, and it is therefore as wrong to assert the independence of one from the other as it is to assert that there is no difference between them.”</w:t>
      </w:r>
    </w:p>
    <w:p w:rsidR="000263F5" w:rsidRPr="0017620E" w:rsidRDefault="000263F5" w:rsidP="00EE5B48">
      <w:pPr>
        <w:pStyle w:val="ListParagraph"/>
        <w:jc w:val="both"/>
        <w:rPr>
          <w:rFonts w:ascii="Times New Roman" w:hAnsi="Times New Roman" w:cs="Times New Roman"/>
          <w:sz w:val="24"/>
          <w:szCs w:val="24"/>
        </w:rPr>
      </w:pPr>
    </w:p>
    <w:p w:rsidR="000263F5" w:rsidRPr="0017620E" w:rsidRDefault="000263F5" w:rsidP="00EE5B48">
      <w:pPr>
        <w:pStyle w:val="ListParagraph"/>
        <w:jc w:val="both"/>
        <w:rPr>
          <w:rFonts w:ascii="Times New Roman" w:hAnsi="Times New Roman" w:cs="Times New Roman"/>
          <w:sz w:val="24"/>
          <w:szCs w:val="24"/>
        </w:rPr>
      </w:pPr>
      <w:r w:rsidRPr="0017620E">
        <w:rPr>
          <w:rFonts w:ascii="Times New Roman" w:hAnsi="Times New Roman" w:cs="Times New Roman"/>
          <w:sz w:val="24"/>
          <w:szCs w:val="24"/>
        </w:rPr>
        <w:t xml:space="preserve">Discuss. </w:t>
      </w:r>
    </w:p>
    <w:p w:rsidR="000263F5" w:rsidRPr="0017620E" w:rsidRDefault="000263F5" w:rsidP="00EE5B48">
      <w:pPr>
        <w:pStyle w:val="ListParagraph"/>
        <w:jc w:val="both"/>
        <w:rPr>
          <w:rFonts w:ascii="Times New Roman" w:hAnsi="Times New Roman" w:cs="Times New Roman"/>
          <w:sz w:val="24"/>
          <w:szCs w:val="24"/>
        </w:rPr>
      </w:pPr>
    </w:p>
    <w:p w:rsidR="002B2B30" w:rsidRDefault="00675393" w:rsidP="00EE5B48">
      <w:pPr>
        <w:pStyle w:val="ListParagraph"/>
        <w:numPr>
          <w:ilvl w:val="0"/>
          <w:numId w:val="2"/>
        </w:numPr>
        <w:ind w:left="720" w:hanging="720"/>
        <w:jc w:val="both"/>
        <w:rPr>
          <w:rFonts w:ascii="Times New Roman" w:hAnsi="Times New Roman" w:cs="Times New Roman"/>
          <w:sz w:val="24"/>
          <w:szCs w:val="24"/>
        </w:rPr>
      </w:pPr>
      <w:r>
        <w:rPr>
          <w:rFonts w:ascii="Times New Roman" w:hAnsi="Times New Roman" w:cs="Times New Roman"/>
          <w:sz w:val="24"/>
          <w:szCs w:val="24"/>
        </w:rPr>
        <w:t>Is it fusion, fusion fallacy or confusion</w:t>
      </w:r>
      <w:r w:rsidR="002B2B30">
        <w:rPr>
          <w:rFonts w:ascii="Times New Roman" w:hAnsi="Times New Roman" w:cs="Times New Roman"/>
          <w:sz w:val="24"/>
          <w:szCs w:val="24"/>
        </w:rPr>
        <w:t xml:space="preserve">? </w:t>
      </w:r>
    </w:p>
    <w:p w:rsidR="002B2B30" w:rsidRDefault="002B2B30" w:rsidP="002B2B30">
      <w:pPr>
        <w:pStyle w:val="ListParagraph"/>
        <w:jc w:val="both"/>
        <w:rPr>
          <w:rFonts w:ascii="Times New Roman" w:hAnsi="Times New Roman" w:cs="Times New Roman"/>
          <w:sz w:val="24"/>
          <w:szCs w:val="24"/>
        </w:rPr>
      </w:pPr>
    </w:p>
    <w:p w:rsidR="000263F5" w:rsidRPr="00DC478F" w:rsidRDefault="000263F5" w:rsidP="00EE5B48">
      <w:pPr>
        <w:pStyle w:val="ListParagraph"/>
        <w:numPr>
          <w:ilvl w:val="0"/>
          <w:numId w:val="2"/>
        </w:numPr>
        <w:ind w:left="720" w:hanging="720"/>
        <w:jc w:val="both"/>
        <w:rPr>
          <w:rFonts w:ascii="Times New Roman" w:hAnsi="Times New Roman" w:cs="Times New Roman"/>
          <w:sz w:val="24"/>
          <w:szCs w:val="24"/>
        </w:rPr>
      </w:pPr>
      <w:r w:rsidRPr="0017620E">
        <w:rPr>
          <w:rFonts w:ascii="Times New Roman" w:hAnsi="Times New Roman" w:cs="Times New Roman"/>
          <w:sz w:val="24"/>
          <w:szCs w:val="24"/>
        </w:rPr>
        <w:t xml:space="preserve">Is </w:t>
      </w:r>
      <w:proofErr w:type="spellStart"/>
      <w:r w:rsidRPr="0017620E">
        <w:rPr>
          <w:rFonts w:ascii="Times New Roman" w:hAnsi="Times New Roman" w:cs="Times New Roman"/>
          <w:sz w:val="24"/>
          <w:szCs w:val="24"/>
        </w:rPr>
        <w:t>unconscionability</w:t>
      </w:r>
      <w:proofErr w:type="spellEnd"/>
      <w:r w:rsidRPr="0017620E">
        <w:rPr>
          <w:rFonts w:ascii="Times New Roman" w:hAnsi="Times New Roman" w:cs="Times New Roman"/>
          <w:sz w:val="24"/>
          <w:szCs w:val="24"/>
        </w:rPr>
        <w:t xml:space="preserve"> the unifying theme of the law of equity? </w:t>
      </w:r>
    </w:p>
    <w:p w:rsidR="000263F5" w:rsidRPr="0017620E" w:rsidRDefault="000263F5" w:rsidP="00EE5B48">
      <w:pPr>
        <w:pStyle w:val="ListParagraph"/>
        <w:jc w:val="both"/>
        <w:rPr>
          <w:rFonts w:ascii="Times New Roman" w:hAnsi="Times New Roman" w:cs="Times New Roman"/>
          <w:sz w:val="24"/>
          <w:szCs w:val="24"/>
        </w:rPr>
      </w:pPr>
      <w:r w:rsidRPr="0017620E">
        <w:rPr>
          <w:rFonts w:ascii="Times New Roman" w:hAnsi="Times New Roman" w:cs="Times New Roman"/>
          <w:sz w:val="24"/>
          <w:szCs w:val="24"/>
        </w:rPr>
        <w:t xml:space="preserve">Additional readings: </w:t>
      </w:r>
    </w:p>
    <w:p w:rsidR="000263F5" w:rsidRPr="0017620E" w:rsidRDefault="000263F5" w:rsidP="00EE5B48">
      <w:pPr>
        <w:pStyle w:val="ListParagraph"/>
        <w:jc w:val="both"/>
        <w:rPr>
          <w:rFonts w:ascii="Times New Roman" w:hAnsi="Times New Roman" w:cs="Times New Roman"/>
          <w:sz w:val="24"/>
          <w:szCs w:val="24"/>
        </w:rPr>
      </w:pPr>
      <w:r w:rsidRPr="0017620E">
        <w:rPr>
          <w:rFonts w:ascii="Times New Roman" w:hAnsi="Times New Roman" w:cs="Times New Roman"/>
          <w:sz w:val="24"/>
          <w:szCs w:val="24"/>
        </w:rPr>
        <w:t xml:space="preserve">P Birks, Annual </w:t>
      </w:r>
      <w:proofErr w:type="spellStart"/>
      <w:r w:rsidRPr="0017620E">
        <w:rPr>
          <w:rFonts w:ascii="Times New Roman" w:hAnsi="Times New Roman" w:cs="Times New Roman"/>
          <w:sz w:val="24"/>
          <w:szCs w:val="24"/>
        </w:rPr>
        <w:t>Miegunyah</w:t>
      </w:r>
      <w:proofErr w:type="spellEnd"/>
      <w:r w:rsidRPr="0017620E">
        <w:rPr>
          <w:rFonts w:ascii="Times New Roman" w:hAnsi="Times New Roman" w:cs="Times New Roman"/>
          <w:sz w:val="24"/>
          <w:szCs w:val="24"/>
        </w:rPr>
        <w:t xml:space="preserve"> Lecture: Equity, Conscience, and Unjust Enrichment (1999) 23 MULR 1 </w:t>
      </w:r>
    </w:p>
    <w:p w:rsidR="00DE1BBE" w:rsidRPr="0017620E" w:rsidRDefault="000263F5" w:rsidP="007438C0">
      <w:pPr>
        <w:pStyle w:val="ListParagraph"/>
        <w:jc w:val="both"/>
        <w:rPr>
          <w:rFonts w:ascii="Times New Roman" w:hAnsi="Times New Roman" w:cs="Times New Roman"/>
          <w:sz w:val="24"/>
          <w:szCs w:val="24"/>
        </w:rPr>
      </w:pPr>
      <w:proofErr w:type="spellStart"/>
      <w:r w:rsidRPr="0017620E">
        <w:rPr>
          <w:rFonts w:ascii="Times New Roman" w:hAnsi="Times New Roman" w:cs="Times New Roman"/>
          <w:i/>
          <w:sz w:val="24"/>
          <w:szCs w:val="24"/>
        </w:rPr>
        <w:t>Chwee</w:t>
      </w:r>
      <w:proofErr w:type="spellEnd"/>
      <w:r w:rsidRPr="0017620E">
        <w:rPr>
          <w:rFonts w:ascii="Times New Roman" w:hAnsi="Times New Roman" w:cs="Times New Roman"/>
          <w:i/>
          <w:sz w:val="24"/>
          <w:szCs w:val="24"/>
        </w:rPr>
        <w:t xml:space="preserve"> Kin </w:t>
      </w:r>
      <w:proofErr w:type="spellStart"/>
      <w:r w:rsidRPr="0017620E">
        <w:rPr>
          <w:rFonts w:ascii="Times New Roman" w:hAnsi="Times New Roman" w:cs="Times New Roman"/>
          <w:i/>
          <w:sz w:val="24"/>
          <w:szCs w:val="24"/>
        </w:rPr>
        <w:t>Keong</w:t>
      </w:r>
      <w:proofErr w:type="spellEnd"/>
      <w:r w:rsidRPr="0017620E">
        <w:rPr>
          <w:rFonts w:ascii="Times New Roman" w:hAnsi="Times New Roman" w:cs="Times New Roman"/>
          <w:i/>
          <w:sz w:val="24"/>
          <w:szCs w:val="24"/>
        </w:rPr>
        <w:t xml:space="preserve"> and Others v Digilandmall.com </w:t>
      </w:r>
      <w:proofErr w:type="spellStart"/>
      <w:r w:rsidRPr="0017620E">
        <w:rPr>
          <w:rFonts w:ascii="Times New Roman" w:hAnsi="Times New Roman" w:cs="Times New Roman"/>
          <w:i/>
          <w:sz w:val="24"/>
          <w:szCs w:val="24"/>
        </w:rPr>
        <w:t>Pte</w:t>
      </w:r>
      <w:proofErr w:type="spellEnd"/>
      <w:r w:rsidRPr="0017620E">
        <w:rPr>
          <w:rFonts w:ascii="Times New Roman" w:hAnsi="Times New Roman" w:cs="Times New Roman"/>
          <w:i/>
          <w:sz w:val="24"/>
          <w:szCs w:val="24"/>
        </w:rPr>
        <w:t xml:space="preserve"> Ltd</w:t>
      </w:r>
      <w:r w:rsidRPr="0017620E">
        <w:rPr>
          <w:rFonts w:ascii="Times New Roman" w:hAnsi="Times New Roman" w:cs="Times New Roman"/>
          <w:sz w:val="24"/>
          <w:szCs w:val="24"/>
        </w:rPr>
        <w:t xml:space="preserve"> [2005] 1 SLR 502 (Chao Hick Tin JA)</w:t>
      </w:r>
    </w:p>
    <w:p w:rsidR="00DE1BBE" w:rsidRPr="0017620E" w:rsidRDefault="00DE1BBE" w:rsidP="00EE5B48">
      <w:pPr>
        <w:pStyle w:val="ListParagraph"/>
        <w:jc w:val="both"/>
        <w:rPr>
          <w:rFonts w:ascii="Times New Roman" w:hAnsi="Times New Roman" w:cs="Times New Roman"/>
          <w:sz w:val="24"/>
          <w:szCs w:val="24"/>
        </w:rPr>
      </w:pPr>
    </w:p>
    <w:p w:rsidR="00571A20" w:rsidRPr="0017620E" w:rsidRDefault="00571A20" w:rsidP="00EE5B48">
      <w:pPr>
        <w:pStyle w:val="ListParagraph"/>
        <w:numPr>
          <w:ilvl w:val="0"/>
          <w:numId w:val="2"/>
        </w:numPr>
        <w:ind w:left="720" w:hanging="720"/>
        <w:jc w:val="both"/>
        <w:rPr>
          <w:rFonts w:ascii="Times New Roman" w:hAnsi="Times New Roman" w:cs="Times New Roman"/>
          <w:sz w:val="24"/>
          <w:szCs w:val="24"/>
        </w:rPr>
      </w:pPr>
      <w:r w:rsidRPr="0017620E">
        <w:rPr>
          <w:rFonts w:ascii="Times New Roman" w:hAnsi="Times New Roman" w:cs="Times New Roman"/>
          <w:sz w:val="24"/>
          <w:szCs w:val="24"/>
        </w:rPr>
        <w:t xml:space="preserve">Is equity </w:t>
      </w:r>
      <w:r w:rsidR="00543853">
        <w:rPr>
          <w:rFonts w:ascii="Times New Roman" w:hAnsi="Times New Roman" w:cs="Times New Roman"/>
          <w:sz w:val="24"/>
          <w:szCs w:val="24"/>
        </w:rPr>
        <w:t xml:space="preserve">past the age of </w:t>
      </w:r>
      <w:r w:rsidRPr="0017620E">
        <w:rPr>
          <w:rFonts w:ascii="Times New Roman" w:hAnsi="Times New Roman" w:cs="Times New Roman"/>
          <w:sz w:val="24"/>
          <w:szCs w:val="24"/>
        </w:rPr>
        <w:t xml:space="preserve">childbearing?  </w:t>
      </w:r>
    </w:p>
    <w:p w:rsidR="00ED7F7A" w:rsidRPr="00ED7F7A" w:rsidRDefault="00571A20" w:rsidP="00ED7F7A">
      <w:pPr>
        <w:pStyle w:val="NormalWeb"/>
        <w:ind w:left="720"/>
        <w:jc w:val="both"/>
      </w:pPr>
      <w:r w:rsidRPr="0017620E">
        <w:t xml:space="preserve">What about common law?  Consider the House of Lords decision in </w:t>
      </w:r>
      <w:r w:rsidRPr="0017620E">
        <w:rPr>
          <w:i/>
        </w:rPr>
        <w:t>Sempra Metals</w:t>
      </w:r>
      <w:r w:rsidR="00EE5B48">
        <w:rPr>
          <w:i/>
        </w:rPr>
        <w:t xml:space="preserve"> (formerly </w:t>
      </w:r>
      <w:proofErr w:type="spellStart"/>
      <w:r w:rsidR="00EE5B48" w:rsidRPr="00EE5B48">
        <w:rPr>
          <w:bCs/>
          <w:i/>
        </w:rPr>
        <w:t>Metallgesellschaft</w:t>
      </w:r>
      <w:proofErr w:type="spellEnd"/>
      <w:r w:rsidR="00EE5B48" w:rsidRPr="00EE5B48">
        <w:rPr>
          <w:bCs/>
          <w:i/>
        </w:rPr>
        <w:t xml:space="preserve"> Limited) v. Her Majesty's Commissioners of Inland Revenue and another</w:t>
      </w:r>
      <w:r w:rsidR="00EE5B48" w:rsidRPr="00EE5B48">
        <w:rPr>
          <w:i/>
        </w:rPr>
        <w:t xml:space="preserve"> </w:t>
      </w:r>
      <w:r w:rsidR="0017620E" w:rsidRPr="0017620E">
        <w:t xml:space="preserve">[2007] UKHL 34 </w:t>
      </w:r>
    </w:p>
    <w:p w:rsidR="00ED7F7A" w:rsidRDefault="00ED7F7A" w:rsidP="00EE5B48">
      <w:pPr>
        <w:pStyle w:val="ListParagraph"/>
        <w:numPr>
          <w:ilvl w:val="0"/>
          <w:numId w:val="2"/>
        </w:numPr>
        <w:ind w:left="720" w:hanging="720"/>
        <w:jc w:val="both"/>
        <w:rPr>
          <w:rFonts w:ascii="Times New Roman" w:hAnsi="Times New Roman" w:cs="Times New Roman"/>
          <w:sz w:val="24"/>
          <w:szCs w:val="24"/>
        </w:rPr>
      </w:pPr>
      <w:r>
        <w:rPr>
          <w:rFonts w:ascii="Times New Roman" w:hAnsi="Times New Roman" w:cs="Times New Roman"/>
          <w:sz w:val="24"/>
          <w:szCs w:val="24"/>
        </w:rPr>
        <w:t>Define a trust.</w:t>
      </w:r>
    </w:p>
    <w:p w:rsidR="00ED7F7A" w:rsidRDefault="00ED7F7A" w:rsidP="00ED7F7A">
      <w:pPr>
        <w:pStyle w:val="ListParagraph"/>
        <w:jc w:val="both"/>
        <w:rPr>
          <w:rFonts w:ascii="Times New Roman" w:hAnsi="Times New Roman" w:cs="Times New Roman"/>
          <w:sz w:val="24"/>
          <w:szCs w:val="24"/>
        </w:rPr>
      </w:pPr>
    </w:p>
    <w:p w:rsidR="00DE1BBE" w:rsidRPr="00DC478F" w:rsidRDefault="00DE1BBE" w:rsidP="00EE5B48">
      <w:pPr>
        <w:pStyle w:val="ListParagraph"/>
        <w:numPr>
          <w:ilvl w:val="0"/>
          <w:numId w:val="2"/>
        </w:numPr>
        <w:ind w:left="720" w:hanging="720"/>
        <w:jc w:val="both"/>
        <w:rPr>
          <w:rFonts w:ascii="Times New Roman" w:hAnsi="Times New Roman" w:cs="Times New Roman"/>
          <w:sz w:val="24"/>
          <w:szCs w:val="24"/>
        </w:rPr>
      </w:pPr>
      <w:r w:rsidRPr="0017620E">
        <w:rPr>
          <w:rFonts w:ascii="Times New Roman" w:hAnsi="Times New Roman" w:cs="Times New Roman"/>
          <w:sz w:val="24"/>
          <w:szCs w:val="24"/>
        </w:rPr>
        <w:t>Distinguish a trust from the following:</w:t>
      </w:r>
    </w:p>
    <w:p w:rsidR="00DE1BBE" w:rsidRPr="0017620E" w:rsidRDefault="00DE1BBE" w:rsidP="00EE5B48">
      <w:pPr>
        <w:pStyle w:val="ListParagraph"/>
        <w:numPr>
          <w:ilvl w:val="0"/>
          <w:numId w:val="3"/>
        </w:numPr>
        <w:jc w:val="both"/>
        <w:rPr>
          <w:rFonts w:ascii="Times New Roman" w:hAnsi="Times New Roman" w:cs="Times New Roman"/>
          <w:sz w:val="24"/>
          <w:szCs w:val="24"/>
        </w:rPr>
      </w:pPr>
      <w:r w:rsidRPr="0017620E">
        <w:rPr>
          <w:rFonts w:ascii="Times New Roman" w:hAnsi="Times New Roman" w:cs="Times New Roman"/>
          <w:sz w:val="24"/>
          <w:szCs w:val="24"/>
        </w:rPr>
        <w:t>Contract</w:t>
      </w:r>
    </w:p>
    <w:p w:rsidR="00DE1BBE" w:rsidRPr="0017620E" w:rsidRDefault="00DE1BBE" w:rsidP="00EE5B48">
      <w:pPr>
        <w:pStyle w:val="ListParagraph"/>
        <w:numPr>
          <w:ilvl w:val="0"/>
          <w:numId w:val="3"/>
        </w:numPr>
        <w:jc w:val="both"/>
        <w:rPr>
          <w:rFonts w:ascii="Times New Roman" w:hAnsi="Times New Roman" w:cs="Times New Roman"/>
          <w:sz w:val="24"/>
          <w:szCs w:val="24"/>
        </w:rPr>
      </w:pPr>
      <w:r w:rsidRPr="0017620E">
        <w:rPr>
          <w:rFonts w:ascii="Times New Roman" w:hAnsi="Times New Roman" w:cs="Times New Roman"/>
          <w:sz w:val="24"/>
          <w:szCs w:val="24"/>
        </w:rPr>
        <w:t>Debt</w:t>
      </w:r>
    </w:p>
    <w:p w:rsidR="00DE1BBE" w:rsidRPr="0017620E" w:rsidRDefault="00DE1BBE" w:rsidP="00EE5B48">
      <w:pPr>
        <w:pStyle w:val="ListParagraph"/>
        <w:numPr>
          <w:ilvl w:val="0"/>
          <w:numId w:val="3"/>
        </w:numPr>
        <w:jc w:val="both"/>
        <w:rPr>
          <w:rFonts w:ascii="Times New Roman" w:hAnsi="Times New Roman" w:cs="Times New Roman"/>
          <w:sz w:val="24"/>
          <w:szCs w:val="24"/>
        </w:rPr>
      </w:pPr>
      <w:r w:rsidRPr="0017620E">
        <w:rPr>
          <w:rFonts w:ascii="Times New Roman" w:hAnsi="Times New Roman" w:cs="Times New Roman"/>
          <w:sz w:val="24"/>
          <w:szCs w:val="24"/>
        </w:rPr>
        <w:t xml:space="preserve">Agency </w:t>
      </w:r>
    </w:p>
    <w:p w:rsidR="00DC478F" w:rsidRDefault="00DE1BBE" w:rsidP="00DC478F">
      <w:pPr>
        <w:pStyle w:val="ListParagraph"/>
        <w:numPr>
          <w:ilvl w:val="0"/>
          <w:numId w:val="3"/>
        </w:numPr>
        <w:jc w:val="both"/>
        <w:rPr>
          <w:rFonts w:ascii="Times New Roman" w:hAnsi="Times New Roman" w:cs="Times New Roman"/>
          <w:sz w:val="24"/>
          <w:szCs w:val="24"/>
        </w:rPr>
      </w:pPr>
      <w:r w:rsidRPr="0017620E">
        <w:rPr>
          <w:rFonts w:ascii="Times New Roman" w:hAnsi="Times New Roman" w:cs="Times New Roman"/>
          <w:sz w:val="24"/>
          <w:szCs w:val="24"/>
        </w:rPr>
        <w:t>Bailment</w:t>
      </w:r>
    </w:p>
    <w:p w:rsidR="00DC478F" w:rsidRPr="00DC478F" w:rsidRDefault="00DC478F" w:rsidP="00DC478F">
      <w:pPr>
        <w:pStyle w:val="ListParagraph"/>
        <w:ind w:left="1080"/>
        <w:jc w:val="both"/>
        <w:rPr>
          <w:rFonts w:ascii="Times New Roman" w:hAnsi="Times New Roman" w:cs="Times New Roman"/>
          <w:sz w:val="24"/>
          <w:szCs w:val="24"/>
        </w:rPr>
      </w:pPr>
    </w:p>
    <w:p w:rsidR="000263F5" w:rsidRPr="00DC478F" w:rsidRDefault="002B2B30" w:rsidP="000263F5">
      <w:pPr>
        <w:pStyle w:val="ListParagraph"/>
        <w:numPr>
          <w:ilvl w:val="0"/>
          <w:numId w:val="2"/>
        </w:numPr>
        <w:ind w:left="720" w:hanging="720"/>
        <w:jc w:val="both"/>
        <w:rPr>
          <w:rFonts w:ascii="Times New Roman" w:hAnsi="Times New Roman" w:cs="Times New Roman"/>
          <w:sz w:val="24"/>
          <w:szCs w:val="24"/>
        </w:rPr>
      </w:pPr>
      <w:r w:rsidRPr="002B2B30">
        <w:rPr>
          <w:rFonts w:ascii="Times New Roman" w:hAnsi="Times New Roman" w:cs="Times New Roman"/>
          <w:sz w:val="24"/>
          <w:szCs w:val="24"/>
        </w:rPr>
        <w:t xml:space="preserve">Explain the difference between (a) legal property rights; (b) equitable property </w:t>
      </w:r>
      <w:r>
        <w:rPr>
          <w:rFonts w:ascii="Times New Roman" w:hAnsi="Times New Roman" w:cs="Times New Roman"/>
          <w:sz w:val="24"/>
          <w:szCs w:val="24"/>
        </w:rPr>
        <w:t>rights; (c) personal rights; and (d) mere equities.</w:t>
      </w:r>
    </w:p>
    <w:sectPr w:rsidR="000263F5" w:rsidRPr="00DC478F" w:rsidSect="003517E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43816"/>
    <w:multiLevelType w:val="hybridMultilevel"/>
    <w:tmpl w:val="2E642CEC"/>
    <w:lvl w:ilvl="0" w:tplc="BD8657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8C07DA2"/>
    <w:multiLevelType w:val="hybridMultilevel"/>
    <w:tmpl w:val="A64059C6"/>
    <w:lvl w:ilvl="0" w:tplc="B492D3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EB76C23"/>
    <w:multiLevelType w:val="hybridMultilevel"/>
    <w:tmpl w:val="7520E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442214"/>
    <w:rsid w:val="00002275"/>
    <w:rsid w:val="000263F5"/>
    <w:rsid w:val="00075895"/>
    <w:rsid w:val="0017620E"/>
    <w:rsid w:val="002B2B30"/>
    <w:rsid w:val="003517E5"/>
    <w:rsid w:val="003E4F61"/>
    <w:rsid w:val="00442214"/>
    <w:rsid w:val="00541308"/>
    <w:rsid w:val="00543853"/>
    <w:rsid w:val="00571A20"/>
    <w:rsid w:val="006159DB"/>
    <w:rsid w:val="00675393"/>
    <w:rsid w:val="0073303C"/>
    <w:rsid w:val="007438C0"/>
    <w:rsid w:val="008439CE"/>
    <w:rsid w:val="00882B04"/>
    <w:rsid w:val="00962C51"/>
    <w:rsid w:val="009F78C5"/>
    <w:rsid w:val="00B0058D"/>
    <w:rsid w:val="00DC478F"/>
    <w:rsid w:val="00DE1BBE"/>
    <w:rsid w:val="00E92C61"/>
    <w:rsid w:val="00ED7F7A"/>
    <w:rsid w:val="00EE5B48"/>
    <w:rsid w:val="00F01E9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2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1308"/>
    <w:pPr>
      <w:ind w:left="720"/>
      <w:contextualSpacing/>
    </w:pPr>
  </w:style>
  <w:style w:type="paragraph" w:styleId="NormalWeb">
    <w:name w:val="Normal (Web)"/>
    <w:basedOn w:val="Normal"/>
    <w:uiPriority w:val="99"/>
    <w:unhideWhenUsed/>
    <w:rsid w:val="0017620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168</Words>
  <Characters>961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SMU</Company>
  <LinksUpToDate>false</LinksUpToDate>
  <CharactersWithSpaces>1127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manyip</dc:creator>
  <cp:lastModifiedBy>lwaspsir</cp:lastModifiedBy>
  <cp:revision>7</cp:revision>
  <dcterms:created xsi:type="dcterms:W3CDTF">2010-08-02T10:26:00Z</dcterms:created>
  <dcterms:modified xsi:type="dcterms:W3CDTF">2010-12-20T08:02:00Z</dcterms:modified>
</cp:coreProperties>
</file>